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34B42" w:rsidRPr="003745F8" w:rsidTr="004563B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C34B42" w:rsidRPr="003745F8" w:rsidRDefault="00C34B42" w:rsidP="004563BB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MENADŽMENT LJUDSKIH RESURSA</w:t>
            </w:r>
          </w:p>
        </w:tc>
      </w:tr>
      <w:tr w:rsidR="00C34B42" w:rsidRPr="003745F8" w:rsidTr="004563B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Style w:val="Strong"/>
                <w:rFonts w:ascii="Arial" w:hAnsi="Arial" w:cs="Arial"/>
                <w:b w:val="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ECA105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</w:t>
            </w:r>
            <w:r w:rsidR="00190AD2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90AD2" w:rsidRPr="003745F8">
              <w:rPr>
                <w:rFonts w:ascii="Arial" w:hAnsi="Arial" w:cs="Arial"/>
                <w:sz w:val="20"/>
                <w:szCs w:val="20"/>
              </w:rPr>
            </w:r>
            <w:r w:rsidR="00190AD2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190AD2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4B42" w:rsidRPr="003745F8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Prof. dr. sc. Srećko Goić</w:t>
            </w:r>
          </w:p>
          <w:p w:rsidR="00C34B42" w:rsidRDefault="009A6EB1" w:rsidP="009A6E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t>dr. sc. Ivana Tadić</w:t>
            </w:r>
          </w:p>
          <w:p w:rsidR="009A6EB1" w:rsidRPr="003745F8" w:rsidRDefault="009A6EB1" w:rsidP="009A6E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6EB1">
              <w:rPr>
                <w:rFonts w:ascii="Arial" w:hAnsi="Arial" w:cs="Arial"/>
                <w:color w:val="FF0000"/>
                <w:sz w:val="20"/>
                <w:szCs w:val="20"/>
              </w:rPr>
              <w:t>Izv. prof. dr. sc. Danica Bakotić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34B42" w:rsidRPr="003745F8" w:rsidTr="004563BB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34B42" w:rsidRPr="003745F8" w:rsidTr="004563BB">
        <w:trPr>
          <w:trHeight w:val="34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4B42" w:rsidRPr="003745F8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B42" w:rsidRPr="003745F8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C34B42" w:rsidRPr="003745F8" w:rsidTr="004563B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34B42" w:rsidRPr="003745F8" w:rsidTr="004563B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 predmeta je osigurati stjecanje vještina i sposobnosti za uspješno upravljanje ljudskim resursima. Studenti će ovladati temeljnim konceptima upravljanja ljudskim resursima primjenjivim u svim organizacijama.</w:t>
            </w:r>
          </w:p>
        </w:tc>
      </w:tr>
      <w:tr w:rsidR="00C34B42" w:rsidRPr="003745F8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34B42" w:rsidRPr="003745F8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C34B42" w:rsidRPr="003745F8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B42" w:rsidRPr="003745F8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C34B42" w:rsidP="004563B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Ishod učenja predmeta: </w:t>
            </w:r>
          </w:p>
          <w:p w:rsidR="00C34B42" w:rsidRPr="003745F8" w:rsidRDefault="009A6EB1" w:rsidP="004563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t>nalizirati, identificirati i komentirati teorijske i praktične aspekte upravljanja ljudskim resursima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34B42" w:rsidRPr="003745F8" w:rsidRDefault="00C34B42" w:rsidP="004563B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34B42" w:rsidRPr="003745F8" w:rsidRDefault="00C34B42" w:rsidP="004563B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:rsidR="009A6EB1" w:rsidRPr="00F579C9" w:rsidRDefault="009A6EB1" w:rsidP="009A6EB1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F579C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Analizirati karakteristike poslovnog i općeg okruženja kao podlogu za dizajniranje sustava menadžmenta ljudskih resursa.</w:t>
            </w:r>
          </w:p>
          <w:p w:rsidR="009A6EB1" w:rsidRPr="00F579C9" w:rsidRDefault="009A6EB1" w:rsidP="009A6EB1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F579C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Oblikovati radna mjesta i izraditi planove potrebnih ljudskih resursa.</w:t>
            </w:r>
          </w:p>
          <w:p w:rsidR="009A6EB1" w:rsidRPr="00F579C9" w:rsidRDefault="009A6EB1" w:rsidP="009A6EB1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F579C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Analizirati različite metode i tehnike privlačenja, odabira i zadržavanja zaposlenika.</w:t>
            </w:r>
          </w:p>
          <w:p w:rsidR="009A6EB1" w:rsidRPr="00F579C9" w:rsidRDefault="009A6EB1" w:rsidP="009A6EB1">
            <w:pPr>
              <w:numPr>
                <w:ilvl w:val="0"/>
                <w:numId w:val="4"/>
              </w:numPr>
              <w:spacing w:after="0"/>
              <w:contextualSpacing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F579C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Konstruirati sustav za procjenu performansi (osobina/učinka) zaposlenika.</w:t>
            </w:r>
          </w:p>
          <w:p w:rsidR="009A6EB1" w:rsidRPr="009A6EB1" w:rsidRDefault="009A6EB1" w:rsidP="009A6EB1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F579C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Procijeniti različite elemente kompenzacijskog sustava radi obračuna kompenzacija za radna mjesta u poduzeću.</w:t>
            </w:r>
          </w:p>
          <w:p w:rsidR="00C34B42" w:rsidRPr="009A6EB1" w:rsidRDefault="009A6EB1" w:rsidP="009A6EB1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A6EB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Razlikovati radno-pravne aspekte zapošljavanja, zaštite i unapređenja uvjeta rada i života zaposlenih.</w:t>
            </w:r>
          </w:p>
        </w:tc>
      </w:tr>
      <w:tr w:rsidR="00C34B42" w:rsidRPr="003745F8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tbl>
            <w:tblPr>
              <w:tblW w:w="48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17"/>
              <w:gridCol w:w="418"/>
              <w:gridCol w:w="3015"/>
              <w:gridCol w:w="555"/>
            </w:tblGrid>
            <w:tr w:rsidR="00C34B42" w:rsidRPr="003745F8" w:rsidTr="004563BB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C34B42" w:rsidRPr="003745F8" w:rsidTr="004563BB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Pojam i sadržaj menadžmenta ljudskih resursa.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Analiza utjecaja promjenama iz internog i eksternog okruženja na upravljanje ljudskim resursima.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Analiza i dizajniranje radnih mjesta.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Kreiranje opisa radnog mjesta.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Planiranje ljudskih resursa.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Proračun potrebnog fonda radnog </w:t>
                  </w:r>
                </w:p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vremena i potrebnog broja  zaposlenih.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Regrutiranje ljudskih resursa.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Regrutiranje zaposlenika putem različitih kanala i medija.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Selekcija ljudskih resursa.</w:t>
                  </w:r>
                </w:p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Analiza i primjena različitih selekcijskih tehnika.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Orijentacija, obuka i razvoj kadrova.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Analiza i diskusija na temelju studije slučaja (orijentacija, obuka i razvoj karijere).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Motivacija i zadovoljstvo na radu.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Utvrđivanje ključnih motivacijskih faktora.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Procjena performansi (osobina/radnog učinka) zaposlenika.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Procjena performansi na temelju odabranog primjera.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Kompenzacije I.</w:t>
                  </w:r>
                </w:p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Procjena složenosti radnih mjesta različitim metodama procjene.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9641A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Komp</w:t>
                  </w:r>
                  <w:r w:rsidR="009641A3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nzacije II.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Izračun iznosa plaća odabranih radnih mjesta.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Radni odnosi.</w:t>
                  </w:r>
                </w:p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Analiza odabranih primjera kolektivnih ugovora.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Zaštita i unapređenje uvjeta rada i života zaposlenih.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Različiti oblici zaštite zaposlenih.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Informacijski sustav ljudskih resursa.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Informacijski sustav ljudskih resursa.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Organizacija upravljanja </w:t>
                  </w:r>
                </w:p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ljudskim resursima.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Integrirana studija slučaja upravljanja ljudskim resursima.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34B42" w:rsidRPr="003745F8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Ponavljanje i utvrđivanje gradiva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Ponavljanje gradiva i priprema za ispit.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3745F8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34B42" w:rsidRPr="003745F8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B42" w:rsidRPr="003745F8" w:rsidTr="004563BB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34B42" w:rsidRPr="003745F8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34B42" w:rsidRPr="003745F8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0AD2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90AD2" w:rsidRPr="003745F8">
              <w:rPr>
                <w:rFonts w:ascii="Arial" w:hAnsi="Arial" w:cs="Arial"/>
                <w:sz w:val="20"/>
                <w:szCs w:val="20"/>
              </w:rPr>
            </w:r>
            <w:r w:rsidR="00190AD2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190AD2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C34B42" w:rsidRPr="003745F8" w:rsidTr="004563BB">
        <w:trPr>
          <w:trHeight w:val="5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B42" w:rsidRPr="003745F8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9641A3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Da bi ostvario pravo na potpis redovni student mora aktivno sudjelovati u najmanje 50%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predavanja te 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najmanje 70% vježbi.</w:t>
            </w:r>
          </w:p>
        </w:tc>
      </w:tr>
      <w:tr w:rsidR="00C34B42" w:rsidRPr="003745F8" w:rsidTr="004563B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34B42" w:rsidRPr="003745F8" w:rsidTr="004563BB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iz vježbi </w:t>
            </w:r>
            <w:r w:rsidR="00190AD2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190AD2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="00190AD2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0AD2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C34B42" w:rsidRPr="003745F8" w:rsidTr="004563BB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C34B42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34B42" w:rsidRPr="003745F8" w:rsidTr="004563BB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4B42" w:rsidRPr="003745F8" w:rsidTr="004563BB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4B42" w:rsidRPr="003745F8" w:rsidTr="004563B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641A3" w:rsidRPr="009641A3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1A3">
              <w:rPr>
                <w:rFonts w:ascii="Arial" w:hAnsi="Arial" w:cs="Arial"/>
                <w:sz w:val="20"/>
                <w:szCs w:val="20"/>
              </w:rPr>
              <w:t xml:space="preserve">Tijekom semestra održat će se dva kolokvija </w:t>
            </w: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>(teorijski dio gradiva)</w:t>
            </w:r>
            <w:r w:rsidRPr="009641A3">
              <w:rPr>
                <w:rFonts w:ascii="Arial" w:hAnsi="Arial" w:cs="Arial"/>
                <w:sz w:val="20"/>
                <w:szCs w:val="20"/>
              </w:rPr>
              <w:t xml:space="preserve">, koji će donositi maksimalno po 50 bodova. Praktični dio gradiva provjeravat će se kroz četiri zadatka </w:t>
            </w: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 xml:space="preserve">(2 individualna + 2 grupna), </w:t>
            </w:r>
            <w:r w:rsidRPr="009641A3">
              <w:rPr>
                <w:rFonts w:ascii="Arial" w:hAnsi="Arial" w:cs="Arial"/>
                <w:sz w:val="20"/>
                <w:szCs w:val="20"/>
              </w:rPr>
              <w:t xml:space="preserve">koji će studentima donositi </w:t>
            </w: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 xml:space="preserve">po 20, odnosno ukupno </w:t>
            </w:r>
            <w:r w:rsidRPr="009641A3">
              <w:rPr>
                <w:rFonts w:ascii="Arial" w:hAnsi="Arial" w:cs="Arial"/>
                <w:sz w:val="20"/>
                <w:szCs w:val="20"/>
              </w:rPr>
              <w:t xml:space="preserve">maksimalno 80 bodova. Temeljem aktivnog sudjelovanja u nastavi studenti mogu ostvariti do 20 bodova. Student koji kroz rad tijekom nastave prikupi najmanje 120 bodova, s tim da je izradio najmanje 3 zadatka i iz svakog kolokvija dobio </w:t>
            </w:r>
            <w:r w:rsidRPr="009641A3">
              <w:rPr>
                <w:rFonts w:ascii="Arial" w:hAnsi="Arial" w:cs="Arial"/>
                <w:sz w:val="20"/>
                <w:szCs w:val="20"/>
              </w:rPr>
              <w:lastRenderedPageBreak/>
              <w:t xml:space="preserve">najmanje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9641A3">
              <w:rPr>
                <w:rFonts w:ascii="Arial" w:hAnsi="Arial" w:cs="Arial"/>
                <w:sz w:val="20"/>
                <w:szCs w:val="20"/>
              </w:rPr>
              <w:t xml:space="preserve"> bodova (te ukupno iz oba kolokvija najmanje 50 bodova), smatra se da je položio ispit te će mu biti ponuđena odgovarajuća ocjena. </w:t>
            </w:r>
          </w:p>
          <w:p w:rsidR="009641A3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641A3" w:rsidRPr="009641A3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 xml:space="preserve">Bodovna ljestvica i odgovarajuće ocjene ostvarene u predroku su sljedeće: </w:t>
            </w:r>
          </w:p>
          <w:p w:rsidR="009641A3" w:rsidRPr="009641A3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>120-130 dovoljan (2)</w:t>
            </w:r>
          </w:p>
          <w:p w:rsidR="009641A3" w:rsidRPr="009641A3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>131-145 dobar (3)</w:t>
            </w:r>
          </w:p>
          <w:p w:rsidR="009641A3" w:rsidRPr="009641A3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>146-160 vrlo</w:t>
            </w:r>
            <w:r w:rsidR="0092263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>dobar (4)</w:t>
            </w:r>
          </w:p>
          <w:p w:rsidR="009641A3" w:rsidRPr="009641A3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>161-200 izvrstan (5)</w:t>
            </w:r>
          </w:p>
          <w:p w:rsidR="009641A3" w:rsidRPr="009641A3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B305A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>*Ukoliko student tijekom nastave ne prikupi najmanje 120 bodova</w:t>
            </w:r>
            <w:r w:rsidR="0092263E">
              <w:rPr>
                <w:rFonts w:ascii="Arial" w:hAnsi="Arial" w:cs="Arial"/>
                <w:color w:val="FF0000"/>
                <w:sz w:val="20"/>
                <w:szCs w:val="20"/>
              </w:rPr>
              <w:t xml:space="preserve"> (</w:t>
            </w:r>
            <w:bookmarkStart w:id="0" w:name="_GoBack"/>
            <w:r w:rsidR="0092263E">
              <w:rPr>
                <w:rFonts w:ascii="Arial" w:hAnsi="Arial" w:cs="Arial"/>
                <w:color w:val="FF0000"/>
                <w:sz w:val="20"/>
                <w:szCs w:val="20"/>
              </w:rPr>
              <w:t>odnosno ne zadovolji neki od ostalih traženih uvjeta za polaganje ispita u predroku</w:t>
            </w:r>
            <w:bookmarkEnd w:id="0"/>
            <w:r w:rsidR="0092263E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 xml:space="preserve">, tada pristupa pismenom ispitu koji se sastoji o teorijskog dijela (maksimalno 50 bodova) i praktičnog dijela, odnosno dva zadatka (maksimalno 50 bodova). Za polaganje ispita, student treba ostvariti najmanje 25 bodova iz teorijskog dijela i najmanje 25 bodova iz praktičnog dijela, odnosno ukupno najmanje 55 bodova. </w:t>
            </w:r>
          </w:p>
          <w:p w:rsidR="00CB305A" w:rsidRDefault="00CB305A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641A3" w:rsidRPr="009641A3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>Ostvareni broj bodova se množi ponderom 2 te se ocjena formira prema sljedećoj ljestvici:</w:t>
            </w:r>
          </w:p>
          <w:p w:rsidR="009641A3" w:rsidRPr="009641A3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 xml:space="preserve">110-130 dovoljan (2) </w:t>
            </w:r>
          </w:p>
          <w:p w:rsidR="009641A3" w:rsidRPr="009641A3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>131-145 dobar (3)</w:t>
            </w:r>
          </w:p>
          <w:p w:rsidR="009641A3" w:rsidRPr="009641A3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>146-160 vrlodobar (4)</w:t>
            </w:r>
          </w:p>
          <w:p w:rsidR="00C34B42" w:rsidRPr="003745F8" w:rsidRDefault="009641A3" w:rsidP="00214EA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1A3">
              <w:rPr>
                <w:rFonts w:ascii="Arial" w:hAnsi="Arial" w:cs="Arial"/>
                <w:color w:val="FF0000"/>
                <w:sz w:val="20"/>
                <w:szCs w:val="20"/>
              </w:rPr>
              <w:t>161-200 izvrstan (5)</w:t>
            </w:r>
          </w:p>
        </w:tc>
      </w:tr>
      <w:tr w:rsidR="00C34B42" w:rsidRPr="003745F8" w:rsidTr="004563B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34B42" w:rsidRPr="003745F8" w:rsidTr="004563BB">
        <w:trPr>
          <w:trHeight w:val="503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CB305A" w:rsidP="00CB30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Goić, S., Tadić, I. i Bakotić, D.: Management ljudskih resursa – nastavni materijali za internu uporabu (https://moodle.efst.hr)</w:t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34B42" w:rsidRPr="003745F8" w:rsidRDefault="00C34B4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CB305A" w:rsidP="00CB30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C34B42" w:rsidRPr="003745F8" w:rsidTr="004563BB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CB305A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Buble, M.: Management, Ekonomski fakultet, Split, 2006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CB305A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C34B4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B42" w:rsidRPr="003745F8" w:rsidTr="004563BB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4B42" w:rsidRPr="003745F8" w:rsidTr="004563BB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4B42" w:rsidRPr="003745F8" w:rsidTr="004563BB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4B42" w:rsidRPr="003745F8" w:rsidTr="004563BB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4B42" w:rsidRPr="003745F8" w:rsidTr="004563BB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4B42" w:rsidRPr="003745F8" w:rsidTr="004563BB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3745F8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4B42" w:rsidRPr="003745F8" w:rsidTr="004563B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4B42" w:rsidRPr="003745F8" w:rsidRDefault="00C34B42" w:rsidP="004563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C34B42" w:rsidRPr="003745F8" w:rsidRDefault="00C34B42" w:rsidP="004563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34B42" w:rsidRPr="003745F8" w:rsidRDefault="00C34B42" w:rsidP="004563BB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Bahtijarević-Šiber, F.: Management ljudskih potencijala, Golden marketing, Zagreb, 1999.  </w:t>
            </w:r>
          </w:p>
          <w:p w:rsidR="00C34B42" w:rsidRPr="003745F8" w:rsidRDefault="00C34B42" w:rsidP="004563BB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Bohlander, W.G., Snell, S., Sherman, W.A.Jr.: Managing Human Resources, South-West College Publishing, Cincinnati, 2001.</w:t>
            </w:r>
          </w:p>
          <w:p w:rsidR="00C34B42" w:rsidRPr="003745F8" w:rsidRDefault="00C34B42" w:rsidP="004563BB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Marušić, S.: Upravljanje ljudskim potencijalima, ADECO - Ekonomski institut, Zagreb, 2001.</w:t>
            </w:r>
          </w:p>
        </w:tc>
      </w:tr>
      <w:tr w:rsidR="00C34B42" w:rsidRPr="003745F8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C34B42" w:rsidP="004563BB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(nastavnik).</w:t>
            </w:r>
          </w:p>
          <w:p w:rsidR="00C34B42" w:rsidRPr="003745F8" w:rsidRDefault="00C34B42" w:rsidP="004563B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nastavu).</w:t>
            </w:r>
          </w:p>
          <w:p w:rsidR="00C34B42" w:rsidRPr="003745F8" w:rsidRDefault="00C34B42" w:rsidP="004563B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nastavu).</w:t>
            </w:r>
          </w:p>
          <w:p w:rsidR="00C34B42" w:rsidRPr="003745F8" w:rsidRDefault="00C34B42" w:rsidP="004563B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 xml:space="preserve">Studentska anketa o kvaliteti nastavnika i nastave za svaki predmet studija </w:t>
            </w:r>
            <w:r w:rsidRPr="003745F8">
              <w:rPr>
                <w:rFonts w:ascii="Arial" w:hAnsi="Arial" w:cs="Arial"/>
                <w:bCs/>
                <w:sz w:val="20"/>
                <w:szCs w:val="20"/>
              </w:rPr>
              <w:lastRenderedPageBreak/>
              <w:t>(UNIST, Centar za unaprjeđenje kvalitete).</w:t>
            </w:r>
          </w:p>
          <w:p w:rsidR="00C34B42" w:rsidRPr="003745F8" w:rsidRDefault="00C34B42" w:rsidP="004563B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34B42" w:rsidRPr="003745F8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3745F8" w:rsidRDefault="00C34B42" w:rsidP="004563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3745F8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D2D6A" w:rsidRDefault="004D2D6A"/>
    <w:sectPr w:rsidR="004D2D6A" w:rsidSect="00190AD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A57A4"/>
    <w:multiLevelType w:val="hybridMultilevel"/>
    <w:tmpl w:val="2F4CCC7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C815FA"/>
    <w:multiLevelType w:val="hybridMultilevel"/>
    <w:tmpl w:val="4E18461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C34B42"/>
    <w:rsid w:val="00190AD2"/>
    <w:rsid w:val="00214EA7"/>
    <w:rsid w:val="004D2D6A"/>
    <w:rsid w:val="0092263E"/>
    <w:rsid w:val="0094775B"/>
    <w:rsid w:val="009641A3"/>
    <w:rsid w:val="009A6EB1"/>
    <w:rsid w:val="00C34B42"/>
    <w:rsid w:val="00CB3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B42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4B42"/>
    <w:pPr>
      <w:ind w:left="720"/>
      <w:contextualSpacing/>
    </w:pPr>
  </w:style>
  <w:style w:type="paragraph" w:customStyle="1" w:styleId="FieldText">
    <w:name w:val="Field Text"/>
    <w:basedOn w:val="Normal"/>
    <w:rsid w:val="00C34B4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C34B42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B42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4B42"/>
    <w:pPr>
      <w:ind w:left="720"/>
      <w:contextualSpacing/>
    </w:pPr>
  </w:style>
  <w:style w:type="paragraph" w:customStyle="1" w:styleId="FieldText">
    <w:name w:val="Field Text"/>
    <w:basedOn w:val="Normal"/>
    <w:rsid w:val="00C34B4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C34B4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Tadić</dc:creator>
  <cp:lastModifiedBy>sumic</cp:lastModifiedBy>
  <cp:revision>2</cp:revision>
  <dcterms:created xsi:type="dcterms:W3CDTF">2018-06-04T09:46:00Z</dcterms:created>
  <dcterms:modified xsi:type="dcterms:W3CDTF">2018-06-04T09:46:00Z</dcterms:modified>
</cp:coreProperties>
</file>